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31" w:rsidRDefault="004B7A31" w:rsidP="004B7A31">
      <w:r>
        <w:t>Проектная декларация</w:t>
      </w:r>
    </w:p>
    <w:p w:rsidR="004B7A31" w:rsidRDefault="004B7A31" w:rsidP="004B7A31">
      <w:r>
        <w:t>по объекту строительства 4-х секционного многоквартирного жилого дома поз. 1 с помещениями общественного назначения в секции</w:t>
      </w:r>
      <w:proofErr w:type="gramStart"/>
      <w:r>
        <w:t xml:space="preserve"> ?</w:t>
      </w:r>
      <w:proofErr w:type="gramEnd"/>
      <w:r>
        <w:t>1 по адресу:</w:t>
      </w:r>
    </w:p>
    <w:p w:rsidR="004B7A31" w:rsidRDefault="004B7A31" w:rsidP="004B7A31">
      <w:r>
        <w:t>Московская область, г. Павловский Посад, ул. Вокзальная.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Наименование предприятия (фирмы):</w:t>
      </w:r>
    </w:p>
    <w:p w:rsidR="004B7A31" w:rsidRDefault="004B7A31" w:rsidP="004B7A31">
      <w:r>
        <w:t xml:space="preserve">ОАО "Строительно-промышленная компания </w:t>
      </w:r>
      <w:proofErr w:type="spellStart"/>
      <w:r>
        <w:t>Мосэнергострой</w:t>
      </w:r>
      <w:proofErr w:type="spellEnd"/>
      <w:r>
        <w:t>"</w:t>
      </w:r>
    </w:p>
    <w:p w:rsidR="004B7A31" w:rsidRDefault="004B7A31" w:rsidP="004B7A31">
      <w:r>
        <w:t>Место нахождения:</w:t>
      </w:r>
    </w:p>
    <w:p w:rsidR="004B7A31" w:rsidRDefault="004B7A31" w:rsidP="004B7A31">
      <w:r>
        <w:t>115191, г. Москва, ул. Городская, дом 8</w:t>
      </w:r>
    </w:p>
    <w:p w:rsidR="004B7A31" w:rsidRDefault="004B7A31" w:rsidP="004B7A31">
      <w:r>
        <w:t>Режим работы:</w:t>
      </w:r>
    </w:p>
    <w:p w:rsidR="004B7A31" w:rsidRDefault="004B7A31" w:rsidP="004B7A31">
      <w:r>
        <w:t>С 8:30 до 17:30, обед с 12:30 до 13:30</w:t>
      </w:r>
    </w:p>
    <w:p w:rsidR="004B7A31" w:rsidRDefault="004B7A31" w:rsidP="004B7A31">
      <w:r>
        <w:t>Выходные дни - суббота и воскресенье.</w:t>
      </w:r>
    </w:p>
    <w:p w:rsidR="004B7A31" w:rsidRDefault="004B7A31" w:rsidP="004B7A31">
      <w:r>
        <w:t>Государственная регистрация: Свидетельство</w:t>
      </w:r>
      <w:proofErr w:type="gramStart"/>
      <w:r>
        <w:t xml:space="preserve"> ?</w:t>
      </w:r>
      <w:proofErr w:type="gramEnd"/>
      <w:r>
        <w:t>008. 674 от 04.03 1993г., выдано Московской регистрационной палатой. ОГРН 1037739028073 от 06.07.2005 г.</w:t>
      </w:r>
    </w:p>
    <w:p w:rsidR="004B7A31" w:rsidRDefault="004B7A31" w:rsidP="004B7A31">
      <w:r>
        <w:t>Учредители: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 </w:t>
      </w:r>
      <w:proofErr w:type="spellStart"/>
      <w:r>
        <w:t>ВсегоВ</w:t>
      </w:r>
      <w:proofErr w:type="spellEnd"/>
      <w:r>
        <w:t xml:space="preserve"> том числе:</w:t>
      </w:r>
    </w:p>
    <w:p w:rsidR="004B7A31" w:rsidRDefault="004B7A31" w:rsidP="004B7A31">
      <w:r>
        <w:t xml:space="preserve"> Наименование и место нахождения</w:t>
      </w:r>
    </w:p>
    <w:p w:rsidR="004B7A31" w:rsidRDefault="004B7A31" w:rsidP="004B7A31">
      <w:r>
        <w:t>зарегистрированного</w:t>
      </w:r>
    </w:p>
    <w:p w:rsidR="004B7A31" w:rsidRDefault="004B7A31" w:rsidP="004B7A31">
      <w:proofErr w:type="spellStart"/>
      <w:r>
        <w:t>лицаКоличество</w:t>
      </w:r>
      <w:proofErr w:type="spellEnd"/>
      <w:r>
        <w:t>-штук и доля общего количества  акций  в уставном капитале -%</w:t>
      </w:r>
    </w:p>
    <w:p w:rsidR="004B7A31" w:rsidRDefault="004B7A31" w:rsidP="004B7A31">
      <w:r>
        <w:t xml:space="preserve"> Количество </w:t>
      </w:r>
      <w:proofErr w:type="gramStart"/>
      <w:r>
        <w:t>–ш</w:t>
      </w:r>
      <w:proofErr w:type="gramEnd"/>
      <w:r>
        <w:t>тук и доля</w:t>
      </w:r>
    </w:p>
    <w:p w:rsidR="004B7A31" w:rsidRDefault="004B7A31" w:rsidP="004B7A31">
      <w:r>
        <w:t>обыкновенных</w:t>
      </w:r>
    </w:p>
    <w:p w:rsidR="004B7A31" w:rsidRDefault="004B7A31" w:rsidP="004B7A31">
      <w:r>
        <w:t>именных акций –</w:t>
      </w:r>
    </w:p>
    <w:p w:rsidR="004B7A31" w:rsidRDefault="004B7A31" w:rsidP="004B7A31">
      <w:r>
        <w:t xml:space="preserve"> доля в УК-%</w:t>
      </w:r>
    </w:p>
    <w:p w:rsidR="004B7A31" w:rsidRDefault="004B7A31" w:rsidP="004B7A31">
      <w:r>
        <w:t>У</w:t>
      </w:r>
      <w:proofErr w:type="gramStart"/>
      <w:r>
        <w:t>К-</w:t>
      </w:r>
      <w:proofErr w:type="gramEnd"/>
      <w:r>
        <w:t xml:space="preserve">%Количество-шт. и доля </w:t>
      </w:r>
    </w:p>
    <w:p w:rsidR="004B7A31" w:rsidRDefault="004B7A31" w:rsidP="004B7A31">
      <w:r>
        <w:t>привилегированных  именных акций типа</w:t>
      </w:r>
      <w:proofErr w:type="gramStart"/>
      <w:r>
        <w:t xml:space="preserve"> А</w:t>
      </w:r>
      <w:proofErr w:type="gramEnd"/>
      <w:r>
        <w:t xml:space="preserve"> в УК-%</w:t>
      </w:r>
    </w:p>
    <w:p w:rsidR="004B7A31" w:rsidRDefault="004B7A31" w:rsidP="004B7A31">
      <w:r>
        <w:t xml:space="preserve">шт./доля </w:t>
      </w:r>
      <w:proofErr w:type="gramStart"/>
      <w:r>
        <w:t>в</w:t>
      </w:r>
      <w:proofErr w:type="gramEnd"/>
    </w:p>
    <w:p w:rsidR="004B7A31" w:rsidRDefault="004B7A31" w:rsidP="004B7A31">
      <w:r>
        <w:t>У</w:t>
      </w:r>
      <w:proofErr w:type="gramStart"/>
      <w:r>
        <w:t>К-</w:t>
      </w:r>
      <w:proofErr w:type="gramEnd"/>
      <w:r>
        <w:t>%Российская Федерация в лице Федерального агентства по управлению федеральным имуществом.</w:t>
      </w:r>
    </w:p>
    <w:p w:rsidR="004B7A31" w:rsidRDefault="004B7A31" w:rsidP="004B7A31">
      <w:r>
        <w:t xml:space="preserve">Адрес: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Никольский пер. д. 9 15 218 910 25,5%15 218 910 </w:t>
      </w:r>
    </w:p>
    <w:p w:rsidR="004B7A31" w:rsidRPr="004B7A31" w:rsidRDefault="004B7A31" w:rsidP="004B7A31">
      <w:pPr>
        <w:rPr>
          <w:lang w:val="en-US"/>
        </w:rPr>
      </w:pPr>
      <w:r w:rsidRPr="004B7A31">
        <w:rPr>
          <w:lang w:val="en-US"/>
        </w:rPr>
        <w:lastRenderedPageBreak/>
        <w:t>25</w:t>
      </w:r>
      <w:proofErr w:type="gramStart"/>
      <w:r w:rsidRPr="004B7A31">
        <w:rPr>
          <w:lang w:val="en-US"/>
        </w:rPr>
        <w:t>,5</w:t>
      </w:r>
      <w:proofErr w:type="gramEnd"/>
      <w:r w:rsidRPr="004B7A31">
        <w:rPr>
          <w:lang w:val="en-US"/>
        </w:rPr>
        <w:t xml:space="preserve">% </w:t>
      </w:r>
      <w:r>
        <w:t>АРКТУР</w:t>
      </w:r>
      <w:r w:rsidRPr="004B7A31">
        <w:rPr>
          <w:lang w:val="en-US"/>
        </w:rPr>
        <w:t xml:space="preserve"> </w:t>
      </w:r>
      <w:r>
        <w:t>ХОЛДИНГС</w:t>
      </w:r>
      <w:r w:rsidRPr="004B7A31">
        <w:rPr>
          <w:lang w:val="en-US"/>
        </w:rPr>
        <w:t xml:space="preserve"> </w:t>
      </w:r>
      <w:r>
        <w:t>ЛИМИТЕД</w:t>
      </w:r>
      <w:r w:rsidRPr="004B7A31">
        <w:rPr>
          <w:lang w:val="en-US"/>
        </w:rPr>
        <w:t>/ARKTUR HOLDINGS LIMITED.</w:t>
      </w:r>
    </w:p>
    <w:p w:rsidR="004B7A31" w:rsidRDefault="004B7A31" w:rsidP="004B7A31">
      <w:r>
        <w:t xml:space="preserve">Адрес: Кипр, </w:t>
      </w:r>
      <w:proofErr w:type="spellStart"/>
      <w:r>
        <w:t>Аматоунтос</w:t>
      </w:r>
      <w:proofErr w:type="spellEnd"/>
      <w:r>
        <w:t xml:space="preserve">, 5 ПИРИЛИДЕС БИЛДИНГ, а/я 3105 </w:t>
      </w:r>
      <w:proofErr w:type="spellStart"/>
      <w:r>
        <w:t>Лимасол</w:t>
      </w:r>
      <w:proofErr w:type="spellEnd"/>
      <w:r>
        <w:t xml:space="preserve">, Кипр.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8 956 502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15%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3 494 716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5,85%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5 461 786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9,15Закрытое акционерное общество «Национальная </w:t>
      </w:r>
      <w:proofErr w:type="spellStart"/>
      <w:r>
        <w:t>кастодиальная</w:t>
      </w:r>
      <w:proofErr w:type="spellEnd"/>
      <w:r>
        <w:t xml:space="preserve"> компания» (номинальный держатель).</w:t>
      </w:r>
    </w:p>
    <w:p w:rsidR="004B7A31" w:rsidRDefault="004B7A31" w:rsidP="004B7A31">
      <w:r>
        <w:t xml:space="preserve">Адрес: г. Москва, ул. Нижняя </w:t>
      </w:r>
      <w:proofErr w:type="spellStart"/>
      <w:r>
        <w:t>Красносельская</w:t>
      </w:r>
      <w:proofErr w:type="spellEnd"/>
      <w:r>
        <w:t xml:space="preserve">, д. 35, стр. 64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28 390 657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47,57%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23 650 566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39,63%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4 740 091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7,94%Физические лица-граждане России количество акционеров  5 447 чел. </w:t>
      </w:r>
    </w:p>
    <w:p w:rsidR="004B7A31" w:rsidRDefault="004B7A31" w:rsidP="004B7A31">
      <w:r>
        <w:t>7 115 931</w:t>
      </w:r>
    </w:p>
    <w:p w:rsidR="004B7A31" w:rsidRDefault="004B7A31" w:rsidP="004B7A31">
      <w:r>
        <w:lastRenderedPageBreak/>
        <w:t xml:space="preserve">11,93% </w:t>
      </w:r>
    </w:p>
    <w:p w:rsidR="004B7A31" w:rsidRDefault="004B7A31" w:rsidP="004B7A31">
      <w:r>
        <w:t>2 397 308</w:t>
      </w:r>
    </w:p>
    <w:p w:rsidR="004B7A31" w:rsidRDefault="004B7A31" w:rsidP="004B7A31">
      <w:r>
        <w:t xml:space="preserve">4,02% </w:t>
      </w:r>
    </w:p>
    <w:p w:rsidR="004B7A31" w:rsidRDefault="004B7A31" w:rsidP="004B7A31">
      <w:r>
        <w:t>4 718 623 7,91</w:t>
      </w:r>
      <w:proofErr w:type="gramStart"/>
      <w:r>
        <w:t>%В</w:t>
      </w:r>
      <w:proofErr w:type="gramEnd"/>
      <w:r>
        <w:t>сего по ОАО «СПК Мосэнергострой»59 682 000</w:t>
      </w:r>
    </w:p>
    <w:p w:rsidR="004B7A31" w:rsidRDefault="004B7A31" w:rsidP="004B7A31">
      <w:r>
        <w:t>100%44 761 500</w:t>
      </w:r>
    </w:p>
    <w:p w:rsidR="004B7A31" w:rsidRDefault="004B7A31" w:rsidP="004B7A31">
      <w:r>
        <w:t>75%14 920 500</w:t>
      </w:r>
    </w:p>
    <w:p w:rsidR="004B7A31" w:rsidRDefault="004B7A31" w:rsidP="004B7A31">
      <w:r>
        <w:t xml:space="preserve">25%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Объекты недвижимости, построенные за последние три года: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?Построено объектов недвижимости за последние три </w:t>
      </w:r>
      <w:proofErr w:type="spellStart"/>
      <w:r>
        <w:t>годаСрок</w:t>
      </w:r>
      <w:proofErr w:type="spellEnd"/>
      <w:r>
        <w:t xml:space="preserve"> ввода проектный (по ПОС.</w:t>
      </w:r>
      <w:proofErr w:type="gramStart"/>
      <w:r>
        <w:t>)Ф</w:t>
      </w:r>
      <w:proofErr w:type="gramEnd"/>
      <w:r>
        <w:t xml:space="preserve">актический срок ввода в эксплуатацию Г .Конаково  1.10-этажный односекционный </w:t>
      </w:r>
    </w:p>
    <w:p w:rsidR="004B7A31" w:rsidRDefault="004B7A31" w:rsidP="004B7A31">
      <w:r>
        <w:t>49—</w:t>
      </w:r>
      <w:proofErr w:type="spellStart"/>
      <w:r>
        <w:t>ти</w:t>
      </w:r>
      <w:proofErr w:type="spellEnd"/>
      <w:r>
        <w:t xml:space="preserve"> квартирный жилой дом</w:t>
      </w:r>
      <w:proofErr w:type="gramStart"/>
      <w:r>
        <w:t xml:space="preserve"> ?</w:t>
      </w:r>
      <w:proofErr w:type="gramEnd"/>
      <w:r>
        <w:t xml:space="preserve">2 </w:t>
      </w:r>
    </w:p>
    <w:p w:rsidR="004B7A31" w:rsidRDefault="004B7A31" w:rsidP="004B7A31">
      <w:r>
        <w:t>по ул. Александровка (строительный адрес: ул. Александровка, поз. 7).III квартал 2010г.I квартал 2013г. г. Тверь  2.14-этажный 3-х секционный жилой дом по ул. Хрустальная, 37, 2-ой этап строительства 1 секция (68 квартир).IV квартал</w:t>
      </w:r>
    </w:p>
    <w:p w:rsidR="004B7A31" w:rsidRDefault="004B7A31" w:rsidP="004B7A31">
      <w:r>
        <w:t xml:space="preserve">2009 </w:t>
      </w:r>
      <w:proofErr w:type="spellStart"/>
      <w:r>
        <w:t>г.I</w:t>
      </w:r>
      <w:proofErr w:type="spellEnd"/>
      <w:r>
        <w:t xml:space="preserve"> квартал</w:t>
      </w:r>
    </w:p>
    <w:p w:rsidR="004B7A31" w:rsidRDefault="004B7A31" w:rsidP="004B7A31">
      <w:r>
        <w:t>2010г.3.12-14-16-ти этажный 5-ти секционный 305-ти квартирный жилой дом</w:t>
      </w:r>
      <w:proofErr w:type="gramStart"/>
      <w:r>
        <w:t xml:space="preserve"> ?</w:t>
      </w:r>
      <w:proofErr w:type="gramEnd"/>
      <w:r>
        <w:t xml:space="preserve">100 по ул. </w:t>
      </w:r>
      <w:proofErr w:type="spellStart"/>
      <w:r>
        <w:t>Склизкова.III</w:t>
      </w:r>
      <w:proofErr w:type="spellEnd"/>
      <w:r>
        <w:t xml:space="preserve"> квартал 2011г.I квартал 2011г.4. 14-ти этажный односекционный 69-ти квартирный жилой дом ?57 по ул. Дачная. III квартал 2011г.I квартал</w:t>
      </w:r>
    </w:p>
    <w:p w:rsidR="004B7A31" w:rsidRDefault="004B7A31" w:rsidP="004B7A31">
      <w:r>
        <w:t xml:space="preserve">2011г. г. Тула.  5.14-ти этажный 2-х секционный 139-ти квартирный жилой дом 12а по ул. </w:t>
      </w:r>
      <w:proofErr w:type="spellStart"/>
      <w:r>
        <w:t>Вильямса.IVквартал</w:t>
      </w:r>
      <w:proofErr w:type="spellEnd"/>
      <w:r>
        <w:t xml:space="preserve"> 2010г.IVквартал 2010г. г. Рязань  6.10-ти этажный 2-х секционный 89 квартирный жилой дом</w:t>
      </w:r>
      <w:proofErr w:type="gramStart"/>
      <w:r>
        <w:t xml:space="preserve"> ?</w:t>
      </w:r>
      <w:proofErr w:type="gramEnd"/>
      <w:r>
        <w:t>3 (I этап строительства) по ул. Октябрьская  IV квартал</w:t>
      </w:r>
    </w:p>
    <w:p w:rsidR="004B7A31" w:rsidRDefault="004B7A31" w:rsidP="004B7A31">
      <w:r>
        <w:t>2011г.III квартал</w:t>
      </w:r>
    </w:p>
    <w:p w:rsidR="004B7A31" w:rsidRDefault="004B7A31" w:rsidP="004B7A31">
      <w:r>
        <w:t xml:space="preserve">2012г. </w:t>
      </w:r>
    </w:p>
    <w:p w:rsidR="004B7A31" w:rsidRDefault="004B7A31" w:rsidP="004B7A31">
      <w:r>
        <w:t>Свидетельства о допуске к работам, которые оказывают влияние на безопасность объектов капитального строительства:</w:t>
      </w:r>
    </w:p>
    <w:p w:rsidR="004B7A31" w:rsidRDefault="004B7A31" w:rsidP="004B7A31">
      <w:r>
        <w:t>Некоммерческое партнёрство «Объединение организаций, выполняющих строительство, реконструкцию, капитальный ремонт объектов атомной отрасли» «СОЮЗАТОМСТРОЙ»</w:t>
      </w:r>
    </w:p>
    <w:p w:rsidR="004B7A31" w:rsidRDefault="004B7A31" w:rsidP="004B7A31">
      <w:r>
        <w:lastRenderedPageBreak/>
        <w:t xml:space="preserve">СВИДЕТЕЛЬСТВО «СРО </w:t>
      </w:r>
      <w:proofErr w:type="gramStart"/>
      <w:r>
        <w:t>–С</w:t>
      </w:r>
      <w:proofErr w:type="gramEnd"/>
      <w:r>
        <w:t>-016-00088/2-04022011 о допуске к работам, которые оказывают влияние на безопасность особо опасных, технически сложных, уникальных и других объектов капитального строительства при выполнении работ по строительству, реконструкции, капитальному ремонту.</w:t>
      </w:r>
    </w:p>
    <w:p w:rsidR="004B7A31" w:rsidRDefault="004B7A31" w:rsidP="004B7A31">
      <w:r>
        <w:t>Начало действия: 04 февраля 2011 года.</w:t>
      </w:r>
    </w:p>
    <w:p w:rsidR="004B7A31" w:rsidRDefault="004B7A31" w:rsidP="004B7A31">
      <w:r>
        <w:t>Свидетельство действительно без ограничения срока и территории его  действия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Некоммерческое партнёрство «Объединение организаций, выполняющих архитектурно-строительное проектирование объектов атомной отрасли» «СОЮЗАТОМПРОЕКТ»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СВИДЕТЕЛЬСТВО </w:t>
      </w:r>
      <w:proofErr w:type="gramStart"/>
      <w:r>
        <w:t>?С</w:t>
      </w:r>
      <w:proofErr w:type="gramEnd"/>
      <w:r>
        <w:t>РО-П-010-00089/1-17122010 о допуске к работам, оказывающих влияние на безопасность особо опасных, технически сложных, уникальных и других объектов капитального строительства при подготовке проектной документации.</w:t>
      </w:r>
    </w:p>
    <w:p w:rsidR="004B7A31" w:rsidRDefault="004B7A31" w:rsidP="004B7A31">
      <w:r>
        <w:t>Начало действия: 17 декабря 2010 года.</w:t>
      </w:r>
    </w:p>
    <w:p w:rsidR="004B7A31" w:rsidRDefault="004B7A31" w:rsidP="004B7A31">
      <w:r>
        <w:t xml:space="preserve">Свидетельство действительно без ограничения срока и территории его действия.          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Финансовое состояние предприятия:</w:t>
      </w:r>
    </w:p>
    <w:p w:rsidR="004B7A31" w:rsidRDefault="004B7A31" w:rsidP="004B7A31">
      <w:r>
        <w:t>Стабильное.</w:t>
      </w:r>
    </w:p>
    <w:p w:rsidR="004B7A31" w:rsidRDefault="004B7A31" w:rsidP="004B7A31">
      <w:r>
        <w:t>Баланс за 9 мес. 2013 г.                                6 350 487 тыс. руб.</w:t>
      </w:r>
    </w:p>
    <w:p w:rsidR="004B7A31" w:rsidRDefault="004B7A31" w:rsidP="004B7A31">
      <w:r>
        <w:t xml:space="preserve">Оборотные средства                                          2 365 299 тыс. руб. </w:t>
      </w:r>
    </w:p>
    <w:p w:rsidR="004B7A31" w:rsidRDefault="004B7A31" w:rsidP="004B7A31">
      <w:proofErr w:type="spellStart"/>
      <w:r>
        <w:t>Внеоборотные</w:t>
      </w:r>
      <w:proofErr w:type="spellEnd"/>
      <w:r>
        <w:t xml:space="preserve"> активы                                 3 985 188 тыс. руб.                             </w:t>
      </w:r>
    </w:p>
    <w:p w:rsidR="004B7A31" w:rsidRDefault="004B7A31" w:rsidP="004B7A31">
      <w:r>
        <w:t xml:space="preserve">Кредиторская задолженность                            1 632 024 тыс. руб.     </w:t>
      </w:r>
    </w:p>
    <w:p w:rsidR="004B7A31" w:rsidRDefault="004B7A31" w:rsidP="004B7A31">
      <w:r>
        <w:t>Прибыль                                                                        56 814 тыс. руб.</w:t>
      </w:r>
    </w:p>
    <w:p w:rsidR="004B7A31" w:rsidRDefault="004B7A31" w:rsidP="004B7A31">
      <w:r>
        <w:t>Цель строительства, этапы и сроки реализации:</w:t>
      </w:r>
    </w:p>
    <w:p w:rsidR="004B7A31" w:rsidRDefault="004B7A31" w:rsidP="004B7A31">
      <w:r>
        <w:t>Строительство 4-х секционного  многоквартирного жилого дома поз. 1 с помещениями общественного назначения в секции</w:t>
      </w:r>
      <w:proofErr w:type="gramStart"/>
      <w:r>
        <w:t xml:space="preserve"> ?</w:t>
      </w:r>
      <w:proofErr w:type="gramEnd"/>
      <w:r>
        <w:t>1 по ул. Вокзальная в г. Павловский Посад Московской области.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Сроки реализации проекта строительства:</w:t>
      </w:r>
    </w:p>
    <w:p w:rsidR="004B7A31" w:rsidRDefault="004B7A31" w:rsidP="004B7A31">
      <w:r>
        <w:t xml:space="preserve">начало строительства – ІІ кв. 2013г. </w:t>
      </w:r>
    </w:p>
    <w:p w:rsidR="004B7A31" w:rsidRDefault="004B7A31" w:rsidP="004B7A31">
      <w:r>
        <w:t>окончание –  ІV кв. 2014 г.</w:t>
      </w:r>
    </w:p>
    <w:p w:rsidR="004B7A31" w:rsidRDefault="004B7A31" w:rsidP="004B7A31">
      <w:r>
        <w:t xml:space="preserve">Строительство производится в соответствии с разрешением на строительство: </w:t>
      </w:r>
    </w:p>
    <w:p w:rsidR="004B7A31" w:rsidRDefault="004B7A31" w:rsidP="004B7A31">
      <w:r>
        <w:lastRenderedPageBreak/>
        <w:t xml:space="preserve"> </w:t>
      </w:r>
    </w:p>
    <w:p w:rsidR="004B7A31" w:rsidRDefault="004B7A31" w:rsidP="004B7A31">
      <w:r>
        <w:t>1)</w:t>
      </w:r>
      <w:proofErr w:type="gramStart"/>
      <w:r>
        <w:t xml:space="preserve"> ?</w:t>
      </w:r>
      <w:proofErr w:type="gramEnd"/>
      <w:r>
        <w:t xml:space="preserve"> RU50534102-44 от 06 июня 2013 г. Срок действия разрешения до 02 мая  2015 г. </w:t>
      </w:r>
    </w:p>
    <w:p w:rsidR="004B7A31" w:rsidRDefault="004B7A31" w:rsidP="004B7A31">
      <w:r>
        <w:t>Предполагаемый срок получения разрешения на ввод объекта - ІV квартал 2014 г.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Приемка в эксплуатацию осуществляется представителями  </w:t>
      </w:r>
      <w:proofErr w:type="gramStart"/>
      <w:r>
        <w:t>областного</w:t>
      </w:r>
      <w:proofErr w:type="gramEnd"/>
      <w:r>
        <w:t xml:space="preserve"> и городского ГАСН и администрации г. Павловский Посад.</w:t>
      </w:r>
    </w:p>
    <w:p w:rsidR="004B7A31" w:rsidRDefault="004B7A31" w:rsidP="004B7A31">
      <w:r>
        <w:t>Результаты негосударственной экспертизы проектной документации (без смет) и результатов инженерных изысканий:</w:t>
      </w:r>
    </w:p>
    <w:p w:rsidR="004B7A31" w:rsidRDefault="004B7A31" w:rsidP="004B7A31">
      <w:r>
        <w:t>Положительное экспертное заключение</w:t>
      </w:r>
      <w:proofErr w:type="gramStart"/>
      <w:r>
        <w:t xml:space="preserve"> ?</w:t>
      </w:r>
      <w:proofErr w:type="gramEnd"/>
      <w:r>
        <w:t>4-1-1-0053-13 от 27 марта  2013 г.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Проект выполнен в соответствии с основными требованиями комфортности проживания и качества градостроительных решений в увязке с существующей застройкой и окружающей средой.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Права застройщика на земельный участок:</w:t>
      </w:r>
    </w:p>
    <w:p w:rsidR="004B7A31" w:rsidRDefault="004B7A31" w:rsidP="004B7A31">
      <w:r>
        <w:t>Договор аренды земельного участка для строительства многоквартирного жилого дома</w:t>
      </w:r>
      <w:proofErr w:type="gramStart"/>
      <w:r>
        <w:t xml:space="preserve"> ?</w:t>
      </w:r>
      <w:proofErr w:type="gramEnd"/>
      <w:r>
        <w:t xml:space="preserve">55 от 03.05.2012 г. общей площадью 4580 кв. м. с кадастровым номером 50:17:0021320:26. </w:t>
      </w:r>
    </w:p>
    <w:p w:rsidR="004B7A31" w:rsidRDefault="004B7A31" w:rsidP="004B7A31">
      <w:r>
        <w:t>Местоположение строящегося объекта:</w:t>
      </w:r>
    </w:p>
    <w:p w:rsidR="004B7A31" w:rsidRDefault="004B7A31" w:rsidP="004B7A31">
      <w:r>
        <w:t>Московская область, г. Павловский Посад, ул. Вокзальная.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Дом – 14-17-ти этажный, 4-х секционный Г-образной формы с размерами по крайним осям 40,72х76,32 м., </w:t>
      </w:r>
      <w:proofErr w:type="spellStart"/>
      <w:r>
        <w:t>скомпанован</w:t>
      </w:r>
      <w:proofErr w:type="spellEnd"/>
      <w:r>
        <w:t xml:space="preserve"> из 2-х 17-ти этажных (рядовых) и 2-х 14-ти этажных секций (рядовой и поворотной), с помещениями общественного назначения. </w:t>
      </w:r>
    </w:p>
    <w:p w:rsidR="004B7A31" w:rsidRDefault="004B7A31" w:rsidP="004B7A31">
      <w:r>
        <w:t xml:space="preserve">Общая  площадь квартир 15 910,28 </w:t>
      </w:r>
      <w:proofErr w:type="spellStart"/>
      <w:r>
        <w:t>кв.м</w:t>
      </w:r>
      <w:proofErr w:type="spellEnd"/>
      <w:r>
        <w:t>.</w:t>
      </w:r>
    </w:p>
    <w:p w:rsidR="004B7A31" w:rsidRDefault="004B7A31" w:rsidP="004B7A31">
      <w:r>
        <w:t xml:space="preserve">Количество в составе строящегося объекта самостоятельных частей (квартир): 291 шт., в </w:t>
      </w:r>
      <w:proofErr w:type="spellStart"/>
      <w:r>
        <w:t>т.ч</w:t>
      </w:r>
      <w:proofErr w:type="spellEnd"/>
      <w:r>
        <w:t>.:</w:t>
      </w:r>
    </w:p>
    <w:p w:rsidR="004B7A31" w:rsidRDefault="004B7A31" w:rsidP="004B7A31">
      <w:r>
        <w:t xml:space="preserve">однокомнатных – 145 шт., двухкомнатных – 120 шт., трехкомнатных – 26 шт. 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Общая площадь помещений общественного назначения 176,93 </w:t>
      </w:r>
      <w:proofErr w:type="spellStart"/>
      <w:r>
        <w:t>кв.м</w:t>
      </w:r>
      <w:proofErr w:type="spellEnd"/>
      <w:r>
        <w:t xml:space="preserve">. </w:t>
      </w:r>
    </w:p>
    <w:p w:rsidR="004B7A31" w:rsidRDefault="004B7A31" w:rsidP="004B7A31">
      <w:r>
        <w:t>Состав общего имущества в объекте недвижимости, которое будет находиться в общей долевой собственности участников долевого строительства согласно ст. 36 Жилищного кодекса РФ:</w:t>
      </w:r>
    </w:p>
    <w:p w:rsidR="004B7A31" w:rsidRDefault="004B7A31" w:rsidP="004B7A31">
      <w:proofErr w:type="gramStart"/>
      <w:r>
        <w:t xml:space="preserve">-помещения в данном доме, не являющиеся частями квартир и предназначенные для обслуживания более одного помещения в данном доме, в </w:t>
      </w:r>
      <w:proofErr w:type="spellStart"/>
      <w:r>
        <w:t>т.ч</w:t>
      </w:r>
      <w:proofErr w:type="spellEnd"/>
      <w:r>
        <w:t xml:space="preserve">. межквартирные лестничные площадки, лестницы, лифты, лифтовые и иные шахты, коридоры, технические этажи, чердаки, </w:t>
      </w:r>
      <w:r>
        <w:lastRenderedPageBreak/>
        <w:t>подвалы, в которых имеются инженерные коммуникации,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</w:t>
      </w:r>
      <w:proofErr w:type="gramEnd"/>
      <w:r>
        <w:t xml:space="preserve"> за пределами или внутри помещений и </w:t>
      </w:r>
      <w:proofErr w:type="gramStart"/>
      <w:r>
        <w:t>обслуживающее</w:t>
      </w:r>
      <w:proofErr w:type="gramEnd"/>
      <w:r>
        <w:t xml:space="preserve"> более одного помещения;</w:t>
      </w:r>
    </w:p>
    <w:p w:rsidR="004B7A31" w:rsidRDefault="004B7A31" w:rsidP="004B7A31">
      <w:r>
        <w:t>-земельный участок, предоставленный под строительство дома, с элементами озеленения и благоустройства;</w:t>
      </w:r>
    </w:p>
    <w:p w:rsidR="004B7A31" w:rsidRDefault="004B7A31" w:rsidP="004B7A31">
      <w:r>
        <w:t>-инженерные сети к данному дому, находящиеся на указанном земельном участке;</w:t>
      </w:r>
    </w:p>
    <w:p w:rsidR="004B7A31" w:rsidRDefault="004B7A31" w:rsidP="004B7A31">
      <w:r>
        <w:t>-места общего пользования, инженерные сооружения и коммуникации,</w:t>
      </w:r>
    </w:p>
    <w:p w:rsidR="004B7A31" w:rsidRDefault="004B7A31" w:rsidP="004B7A31">
      <w:r>
        <w:t xml:space="preserve">благоустройство территории, в </w:t>
      </w:r>
      <w:proofErr w:type="spellStart"/>
      <w:r>
        <w:t>т.ч</w:t>
      </w:r>
      <w:proofErr w:type="spellEnd"/>
      <w:r>
        <w:t>.   проезды и пешеходные дорожки (имеющие асфальтовое покрытие), площадки для отдыха взрослых и игр детей дошкольного и школьного возраста, хозяйственные площадки,  деревья и кустарники.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Благоустройство территории решено:</w:t>
      </w:r>
    </w:p>
    <w:p w:rsidR="004B7A31" w:rsidRDefault="004B7A31" w:rsidP="004B7A31">
      <w:r>
        <w:t>- устройством автостоянок;</w:t>
      </w:r>
    </w:p>
    <w:p w:rsidR="004B7A31" w:rsidRDefault="004B7A31" w:rsidP="004B7A31">
      <w:r>
        <w:t>- устройством автостоянок для инвалидов;</w:t>
      </w:r>
    </w:p>
    <w:p w:rsidR="004B7A31" w:rsidRDefault="004B7A31" w:rsidP="004B7A31">
      <w:r>
        <w:t>- устройством площадок: отдыха населения; детских игровых; занятий физкультурой;  для хозяйственных целей.</w:t>
      </w:r>
    </w:p>
    <w:p w:rsidR="004B7A31" w:rsidRDefault="004B7A31" w:rsidP="004B7A31">
      <w:r>
        <w:t xml:space="preserve">            </w:t>
      </w:r>
    </w:p>
    <w:p w:rsidR="004B7A31" w:rsidRDefault="004B7A31" w:rsidP="004B7A31">
      <w:r>
        <w:t>Элементы благоустройства и малые архитектурные формы приняты по проектам филиала «</w:t>
      </w:r>
      <w:proofErr w:type="spellStart"/>
      <w:r>
        <w:t>Оргстройпроект</w:t>
      </w:r>
      <w:proofErr w:type="spellEnd"/>
      <w:r>
        <w:t xml:space="preserve">» ОАО «СПК </w:t>
      </w:r>
      <w:proofErr w:type="spellStart"/>
      <w:r>
        <w:t>Мосэнергострой</w:t>
      </w:r>
      <w:proofErr w:type="spellEnd"/>
      <w:r>
        <w:t>» и НПФ «ПИКС».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Возможные финансовые и прочие риски:</w:t>
      </w:r>
    </w:p>
    <w:p w:rsidR="004B7A31" w:rsidRDefault="004B7A31" w:rsidP="004B7A31">
      <w:proofErr w:type="gramStart"/>
      <w:r>
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стихийных бедствий, военных действий любого характера, блокады, решений правительственных органов, изменений ставок рефинансирования Центрального банка, изменений налогового законодательства РФ, а также неблагоприятных погодных условий, исполнение обязательств по договору отодвигается соразмерно времени действия этих обстоятельств.</w:t>
      </w:r>
      <w:proofErr w:type="gramEnd"/>
    </w:p>
    <w:p w:rsidR="004B7A31" w:rsidRDefault="004B7A31" w:rsidP="004B7A31">
      <w:r>
        <w:t xml:space="preserve"> </w:t>
      </w:r>
    </w:p>
    <w:p w:rsidR="004B7A31" w:rsidRDefault="004B7A31" w:rsidP="004B7A31">
      <w:r>
        <w:t>Исполнение обязательств застройщика по выполнению договоров долевого участия</w:t>
      </w:r>
    </w:p>
    <w:p w:rsidR="004B7A31" w:rsidRDefault="004B7A31" w:rsidP="004B7A31">
      <w:r>
        <w:t>обеспечивается ипотекой земельных участков.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 xml:space="preserve">Планируемая стоимость строительства  14-17 этажного 4-х секционного жилого дома </w:t>
      </w:r>
    </w:p>
    <w:p w:rsidR="004B7A31" w:rsidRDefault="004B7A31" w:rsidP="004B7A31">
      <w:r>
        <w:t xml:space="preserve">555 966 114 руб. </w:t>
      </w:r>
    </w:p>
    <w:p w:rsidR="004B7A31" w:rsidRDefault="004B7A31" w:rsidP="004B7A31">
      <w:r>
        <w:lastRenderedPageBreak/>
        <w:t>Перечень организаций, осуществляющих основные СМР и другие работы:</w:t>
      </w:r>
    </w:p>
    <w:p w:rsidR="004B7A31" w:rsidRDefault="004B7A31" w:rsidP="004B7A31">
      <w:proofErr w:type="spellStart"/>
      <w:r>
        <w:t>Электрогорское</w:t>
      </w:r>
      <w:proofErr w:type="spellEnd"/>
      <w:r>
        <w:t xml:space="preserve"> управление строительства  (филиал ОАО «СПК </w:t>
      </w:r>
      <w:proofErr w:type="spellStart"/>
      <w:r>
        <w:t>Мосэнергострой</w:t>
      </w:r>
      <w:proofErr w:type="spellEnd"/>
      <w:r>
        <w:t>»)</w:t>
      </w:r>
    </w:p>
    <w:p w:rsidR="004B7A31" w:rsidRDefault="004B7A31" w:rsidP="004B7A31">
      <w:r>
        <w:t>ООО «Амтел»</w:t>
      </w:r>
    </w:p>
    <w:p w:rsidR="004B7A31" w:rsidRDefault="004B7A31" w:rsidP="004B7A31">
      <w:r>
        <w:t>ООО «Зодчий»</w:t>
      </w:r>
    </w:p>
    <w:p w:rsidR="004B7A31" w:rsidRDefault="004B7A31" w:rsidP="004B7A31">
      <w:r>
        <w:t>ООО «РСУ</w:t>
      </w:r>
      <w:proofErr w:type="gramStart"/>
      <w:r>
        <w:t xml:space="preserve"> ?</w:t>
      </w:r>
      <w:proofErr w:type="gramEnd"/>
      <w:r>
        <w:t xml:space="preserve"> 4»</w:t>
      </w:r>
    </w:p>
    <w:p w:rsidR="004B7A31" w:rsidRDefault="004B7A31" w:rsidP="004B7A31">
      <w:r>
        <w:t>ООО «</w:t>
      </w:r>
      <w:proofErr w:type="spellStart"/>
      <w:r>
        <w:t>Сервиспрестиж</w:t>
      </w:r>
      <w:proofErr w:type="spellEnd"/>
      <w:r>
        <w:t>»</w:t>
      </w:r>
    </w:p>
    <w:p w:rsidR="004B7A31" w:rsidRDefault="004B7A31" w:rsidP="004B7A31">
      <w:r>
        <w:t xml:space="preserve">ООО «Рубеж </w:t>
      </w:r>
      <w:proofErr w:type="gramStart"/>
      <w:r>
        <w:t>СВ</w:t>
      </w:r>
      <w:proofErr w:type="gramEnd"/>
      <w:r>
        <w:t>»</w:t>
      </w:r>
    </w:p>
    <w:p w:rsidR="004B7A31" w:rsidRDefault="004B7A31" w:rsidP="004B7A31">
      <w:r>
        <w:t>ООО «</w:t>
      </w:r>
      <w:proofErr w:type="spellStart"/>
      <w:r>
        <w:t>Инжтехком</w:t>
      </w:r>
      <w:proofErr w:type="spellEnd"/>
      <w:r>
        <w:t>»</w:t>
      </w:r>
    </w:p>
    <w:p w:rsidR="004B7A31" w:rsidRDefault="004B7A31" w:rsidP="004B7A31">
      <w:r>
        <w:t xml:space="preserve"> </w:t>
      </w:r>
    </w:p>
    <w:p w:rsidR="004B7A31" w:rsidRDefault="004B7A31" w:rsidP="004B7A31">
      <w:r>
        <w:t>Заместитель генерального директора</w:t>
      </w:r>
    </w:p>
    <w:p w:rsidR="004B7A31" w:rsidRDefault="004B7A31" w:rsidP="004B7A31">
      <w:r>
        <w:t xml:space="preserve">ОАО «СПК </w:t>
      </w:r>
      <w:proofErr w:type="spellStart"/>
      <w:r>
        <w:t>Мосэнергострой</w:t>
      </w:r>
      <w:proofErr w:type="spellEnd"/>
      <w:r>
        <w:t xml:space="preserve">»                         А.Л. </w:t>
      </w:r>
      <w:proofErr w:type="spellStart"/>
      <w:r>
        <w:t>Буксанов</w:t>
      </w:r>
      <w:proofErr w:type="spellEnd"/>
    </w:p>
    <w:p w:rsidR="004B7A31" w:rsidRDefault="004B7A31" w:rsidP="004B7A31">
      <w:r>
        <w:t xml:space="preserve"> </w:t>
      </w:r>
    </w:p>
    <w:p w:rsidR="0027378A" w:rsidRDefault="004B7A31">
      <w:r>
        <w:t xml:space="preserve"> 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31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B7A31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7519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2014-07-08T09:48:00Z</dcterms:created>
  <dcterms:modified xsi:type="dcterms:W3CDTF">2014-07-08T09:48:00Z</dcterms:modified>
</cp:coreProperties>
</file>