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58" w:rsidRPr="00B14D58" w:rsidRDefault="00B14D58" w:rsidP="00B14D58">
      <w:pPr>
        <w:shd w:val="clear" w:color="auto" w:fill="FFFFFF"/>
        <w:spacing w:after="153" w:line="240" w:lineRule="auto"/>
        <w:outlineLvl w:val="0"/>
        <w:rPr>
          <w:rFonts w:ascii="Helvetica" w:eastAsia="Times New Roman" w:hAnsi="Helvetica" w:cs="Helvetica"/>
          <w:color w:val="DF0000"/>
          <w:kern w:val="36"/>
          <w:sz w:val="51"/>
          <w:szCs w:val="51"/>
          <w:lang w:eastAsia="ru-RU"/>
        </w:rPr>
      </w:pPr>
      <w:r w:rsidRPr="00B14D58">
        <w:rPr>
          <w:rFonts w:ascii="Helvetica" w:eastAsia="Times New Roman" w:hAnsi="Helvetica" w:cs="Helvetica"/>
          <w:color w:val="DF0000"/>
          <w:kern w:val="36"/>
          <w:sz w:val="51"/>
          <w:szCs w:val="51"/>
          <w:lang w:eastAsia="ru-RU"/>
        </w:rPr>
        <w:t>Проектная декларация (дом №32)</w:t>
      </w:r>
    </w:p>
    <w:p w:rsidR="00B14D58" w:rsidRPr="00B14D58" w:rsidRDefault="00B14D58" w:rsidP="00B14D58">
      <w:pPr>
        <w:shd w:val="clear" w:color="auto" w:fill="FFFFFF"/>
        <w:spacing w:after="0" w:line="328" w:lineRule="atLeast"/>
        <w:jc w:val="center"/>
        <w:rPr>
          <w:rFonts w:ascii="Arial" w:eastAsia="Times New Roman" w:hAnsi="Arial" w:cs="Arial"/>
          <w:color w:val="000000"/>
          <w:sz w:val="23"/>
          <w:szCs w:val="23"/>
          <w:lang w:eastAsia="ru-RU"/>
        </w:rPr>
      </w:pPr>
      <w:r w:rsidRPr="00B14D58">
        <w:rPr>
          <w:rFonts w:ascii="Arial" w:eastAsia="Times New Roman" w:hAnsi="Arial" w:cs="Arial"/>
          <w:b/>
          <w:bCs/>
          <w:i/>
          <w:iCs/>
          <w:color w:val="000000"/>
          <w:sz w:val="23"/>
          <w:lang w:eastAsia="ru-RU"/>
        </w:rPr>
        <w:t>Проектная декларация</w:t>
      </w:r>
    </w:p>
    <w:p w:rsidR="00B14D58" w:rsidRPr="00B14D58" w:rsidRDefault="00B14D58" w:rsidP="00B14D58">
      <w:pPr>
        <w:shd w:val="clear" w:color="auto" w:fill="FFFFFF"/>
        <w:spacing w:after="0" w:line="328" w:lineRule="atLeast"/>
        <w:jc w:val="center"/>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Общество с ограниченной ответственностью</w:t>
      </w:r>
    </w:p>
    <w:p w:rsidR="00B14D58" w:rsidRPr="00B14D58" w:rsidRDefault="00B14D58" w:rsidP="00B14D58">
      <w:pPr>
        <w:shd w:val="clear" w:color="auto" w:fill="FFFFFF"/>
        <w:spacing w:after="0" w:line="328" w:lineRule="atLeast"/>
        <w:jc w:val="center"/>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«КОМПАНИЯ ПРОМСЕРВИС»</w:t>
      </w:r>
    </w:p>
    <w:p w:rsidR="00B14D58" w:rsidRPr="00B14D58" w:rsidRDefault="00B14D58" w:rsidP="00B14D58">
      <w:pPr>
        <w:shd w:val="clear" w:color="auto" w:fill="FFFFFF"/>
        <w:spacing w:after="0" w:line="328" w:lineRule="atLeast"/>
        <w:jc w:val="center"/>
        <w:rPr>
          <w:rFonts w:ascii="Arial" w:eastAsia="Times New Roman" w:hAnsi="Arial" w:cs="Arial"/>
          <w:color w:val="000000"/>
          <w:sz w:val="23"/>
          <w:szCs w:val="23"/>
          <w:lang w:eastAsia="ru-RU"/>
        </w:rPr>
      </w:pPr>
      <w:r w:rsidRPr="00B14D58">
        <w:rPr>
          <w:rFonts w:ascii="Arial" w:eastAsia="Times New Roman" w:hAnsi="Arial" w:cs="Arial"/>
          <w:i/>
          <w:iCs/>
          <w:color w:val="000000"/>
          <w:sz w:val="23"/>
          <w:lang w:eastAsia="ru-RU"/>
        </w:rPr>
        <w:t>с изменениями на 10 апреля 2014 год</w:t>
      </w:r>
    </w:p>
    <w:p w:rsidR="00B14D58" w:rsidRPr="00B14D58" w:rsidRDefault="00B14D58" w:rsidP="00B14D58">
      <w:pPr>
        <w:shd w:val="clear" w:color="auto" w:fill="FFFFFF"/>
        <w:spacing w:after="230" w:line="328" w:lineRule="atLeast"/>
        <w:jc w:val="center"/>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г. Москва | 10 апреля 2014 года</w:t>
      </w:r>
    </w:p>
    <w:p w:rsidR="00B14D58" w:rsidRPr="00B14D58" w:rsidRDefault="00B14D58" w:rsidP="00B14D58">
      <w:pPr>
        <w:shd w:val="clear" w:color="auto" w:fill="FFFFFF"/>
        <w:spacing w:after="0" w:line="328" w:lineRule="atLeast"/>
        <w:jc w:val="center"/>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Проектная декларация</w:t>
      </w:r>
    </w:p>
    <w:p w:rsidR="00B14D58" w:rsidRPr="00B14D58" w:rsidRDefault="00B14D58" w:rsidP="00B14D58">
      <w:pPr>
        <w:shd w:val="clear" w:color="auto" w:fill="FFFFFF"/>
        <w:spacing w:after="230" w:line="328" w:lineRule="atLeast"/>
        <w:jc w:val="center"/>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по строительству 6-ти секционного 4-х этажного жилого 142-х квартирного дома (дом №32) по адресу: Московская область, Истринский район, Ивановское сельское поселение, д. Высоково.</w:t>
      </w:r>
    </w:p>
    <w:p w:rsidR="00B14D58" w:rsidRPr="00B14D58" w:rsidRDefault="00B14D58" w:rsidP="00B14D58">
      <w:pPr>
        <w:shd w:val="clear" w:color="auto" w:fill="FFFFFF"/>
        <w:spacing w:after="230" w:line="328" w:lineRule="atLeast"/>
        <w:jc w:val="center"/>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 </w:t>
      </w:r>
    </w:p>
    <w:p w:rsidR="00B14D58" w:rsidRPr="00B14D58" w:rsidRDefault="00B14D58" w:rsidP="00B14D58">
      <w:pPr>
        <w:shd w:val="clear" w:color="auto" w:fill="FFFFFF"/>
        <w:spacing w:after="0" w:line="328" w:lineRule="atLeast"/>
        <w:jc w:val="center"/>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Информация о Застройщике</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1. Застройщик: </w:t>
      </w:r>
      <w:r w:rsidRPr="00B14D58">
        <w:rPr>
          <w:rFonts w:ascii="Arial" w:eastAsia="Times New Roman" w:hAnsi="Arial" w:cs="Arial"/>
          <w:color w:val="000000"/>
          <w:sz w:val="23"/>
          <w:szCs w:val="23"/>
          <w:lang w:eastAsia="ru-RU"/>
        </w:rPr>
        <w:t>Общество с ограниченной ответственностью «КОМПАНИЯ ПРОМСЕРВИС».</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1.1. Юридический адрес Застройщика: </w:t>
      </w:r>
      <w:r w:rsidRPr="00B14D58">
        <w:rPr>
          <w:rFonts w:ascii="Arial" w:eastAsia="Times New Roman" w:hAnsi="Arial" w:cs="Arial"/>
          <w:color w:val="000000"/>
          <w:sz w:val="23"/>
          <w:szCs w:val="23"/>
          <w:lang w:eastAsia="ru-RU"/>
        </w:rPr>
        <w:t>117556, г. Москва, Варшавское шоссе, д.75, корп.1</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1.2. Место нахождения Застройщика</w:t>
      </w:r>
      <w:r w:rsidRPr="00B14D58">
        <w:rPr>
          <w:rFonts w:ascii="Arial" w:eastAsia="Times New Roman" w:hAnsi="Arial" w:cs="Arial"/>
          <w:color w:val="000000"/>
          <w:sz w:val="23"/>
          <w:szCs w:val="23"/>
          <w:lang w:eastAsia="ru-RU"/>
        </w:rPr>
        <w:t>: 129110, г. Москва, ул. Гиляровского, д.47, стр.5.</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1.3. Режим работы Застройщика: </w:t>
      </w:r>
      <w:r w:rsidRPr="00B14D58">
        <w:rPr>
          <w:rFonts w:ascii="Arial" w:eastAsia="Times New Roman" w:hAnsi="Arial" w:cs="Arial"/>
          <w:color w:val="000000"/>
          <w:sz w:val="23"/>
          <w:szCs w:val="23"/>
          <w:lang w:eastAsia="ru-RU"/>
        </w:rPr>
        <w:t>с 9.00 до 18.00 по будням. Обед с 13.00 до 14.00. Суббота и воскресенье выходные. Телефон +7(495) 730-52-90, +7(495) 540-50-92.</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2. Информация о государственной регистрации Застройщика: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Общество с ограниченной ответственностью «КОМПАНИЯ ПРОМСЕРВИС» зарегистрировано 16 октября 2003 в Межрайонной инспекции МНС России №46 по г. Москве, Свидетельство о государственной регистрации юридического лица серия 77 №007992288, ОГРН 1037739913485, Свидетельство о постановке на учет Российской организации в налоговом органе по месту нахождения на территории Российской Федерации серия 77 № 012436133, выданное 05 ноября 2009 года Инспекцией Федеральной налоговой службы №26 по г. Москве, ИНН 7733507718, КПП 772601001.</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3. Информация об учредителях (участниках) Застройщика:</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3.1. </w:t>
      </w:r>
      <w:r w:rsidRPr="00B14D58">
        <w:rPr>
          <w:rFonts w:ascii="Arial" w:eastAsia="Times New Roman" w:hAnsi="Arial" w:cs="Arial"/>
          <w:color w:val="000000"/>
          <w:sz w:val="23"/>
          <w:szCs w:val="23"/>
          <w:lang w:eastAsia="ru-RU"/>
        </w:rPr>
        <w:t>Федотов Илья Михайлович – 51%.</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3.2. </w:t>
      </w:r>
      <w:r w:rsidRPr="00B14D58">
        <w:rPr>
          <w:rFonts w:ascii="Arial" w:eastAsia="Times New Roman" w:hAnsi="Arial" w:cs="Arial"/>
          <w:color w:val="000000"/>
          <w:sz w:val="23"/>
          <w:szCs w:val="23"/>
          <w:lang w:eastAsia="ru-RU"/>
        </w:rPr>
        <w:t>Челидзе Эльдар Джумберович– 49%. </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4. Информация о проектах строительства объектов недвижимости, в которых принимал участие Застройщик в течение трех лет, предшествующих опубликования проектной декларации:</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ООО «КОМПАНИЯ ПРОМСЕРВИС» является Застройщиком:</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 xml:space="preserve">8-ми секционного 4-х этажного 238-ми квартирного жилого дома (дом №2) по адресу: Московская область, Истринский район, Ивановское сельское поселение, д. Высоково. Разрешение на строительство №RU50504304-300 от 28 октября 2013 года, </w:t>
      </w:r>
      <w:r w:rsidRPr="00B14D58">
        <w:rPr>
          <w:rFonts w:ascii="Arial" w:eastAsia="Times New Roman" w:hAnsi="Arial" w:cs="Arial"/>
          <w:color w:val="000000"/>
          <w:sz w:val="23"/>
          <w:szCs w:val="23"/>
          <w:lang w:eastAsia="ru-RU"/>
        </w:rPr>
        <w:lastRenderedPageBreak/>
        <w:t>выдано: Администрацией Истринского муниципального района. Окончание строительства: IV квартал 2015 г.</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6-ти секционного 4-х этажного 145-и квартирного жилого дома (дом №1) по адресу: Московская область, Истринский район, Ивановское сельское поселение, д. Высоково. Разрешение на строительство №RU50504304-332 от 21 ноября 2013 года, выдано: Администрацией Истринского муниципального района. Окончание строительства: IV квартал 2015 г.,</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5-ти секционного 4-х этажного 75-ми квартирного жилого дома (дом №6) по адресу: Московская область, Истринский район, Ивановское сельское поселение, д. Высоково. Разрешение на строительство №RU50504304-330 от 21 ноября 2013 года, выдано: Администрацией Истринского муниципального района. Окончание строительства: IV квартал 2015 г.,</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3-х секционного 4-х этажного 97-ми квартирного жилого дома (дом №7) по адресу: Московская область, Истринский район, Ивановское сельское поселение, д. Высоково, Разрешение на строительство №RU50504304-331 от 22 ноября 2013 года, выдано: Администрацией Истринского муниципального района. Окончание строительства: IV квартал 2015 г.,</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3-х секционного 4-х этажного 101-го квартирного жилого дома (дом№5) по адресу: Московская область, Истринский район, Ивановское сельское поселение, д. Высоково. Разрешение на строительство № RU50504304-356 от 10 декабря 2013 года, выдано: Администрацией Истринского муниципального района. Окончание строительства: IV квартал 2015 г.,</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5. Информация о виде лицензируемой деятельности, номере лицензии, сроке ее действия, об органе, выдавшем лицензию, если вид деятельности подлежит лицензированию в соответствии с федеральным законом:</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Общество с ограниченной ответственностью «КОМПАНИЯ ПРОМСЕРВИС»</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Свидетельство № 0095.04-2009-7733507718-С-035 о допуске к работам, которые оказывают влияние на безопасность объектов капитального строительства, вступило в действие с 20 декабря 2012 года, выдано саморегулируемой организацией, основанной на членстве лиц, осуществляющих строительство Некоммерческим партнерством «Саморегулируемая организация «Союз строителей Московской области «Мособлстройкомплекс», 141700, Россия, Московская область, г. Долгопрудный, проспект Пацаева, д.7, корп. 10, регистрационный номер в государственном реестре саморегулируемых организаций: СРО-С-035-09092009.</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6. Финансово-экономическое состояние Застройщика на 31.12.2013 г.</w:t>
      </w:r>
    </w:p>
    <w:tbl>
      <w:tblPr>
        <w:tblW w:w="0" w:type="auto"/>
        <w:shd w:val="clear" w:color="auto" w:fill="FFFFFF"/>
        <w:tblCellMar>
          <w:left w:w="0" w:type="dxa"/>
          <w:right w:w="0" w:type="dxa"/>
        </w:tblCellMar>
        <w:tblLook w:val="04A0"/>
      </w:tblPr>
      <w:tblGrid>
        <w:gridCol w:w="5507"/>
        <w:gridCol w:w="3848"/>
      </w:tblGrid>
      <w:tr w:rsidR="00B14D58" w:rsidRPr="00B14D58" w:rsidTr="00B14D58">
        <w:tc>
          <w:tcPr>
            <w:tcW w:w="6015" w:type="dxa"/>
            <w:shd w:val="clear" w:color="auto" w:fill="FFFFFF"/>
            <w:hideMark/>
          </w:tcPr>
          <w:p w:rsidR="00B14D58" w:rsidRPr="00B14D58" w:rsidRDefault="00B14D58" w:rsidP="00B14D58">
            <w:pPr>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Финансовый результат</w:t>
            </w:r>
          </w:p>
        </w:tc>
        <w:tc>
          <w:tcPr>
            <w:tcW w:w="4260" w:type="dxa"/>
            <w:shd w:val="clear" w:color="auto" w:fill="FFFFFF"/>
            <w:hideMark/>
          </w:tcPr>
          <w:p w:rsidR="00B14D58" w:rsidRPr="00B14D58" w:rsidRDefault="00B14D58" w:rsidP="00B14D58">
            <w:pPr>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1716 тыс. рублей</w:t>
            </w:r>
          </w:p>
        </w:tc>
      </w:tr>
      <w:tr w:rsidR="00B14D58" w:rsidRPr="00B14D58" w:rsidTr="00B14D58">
        <w:tc>
          <w:tcPr>
            <w:tcW w:w="6015" w:type="dxa"/>
            <w:shd w:val="clear" w:color="auto" w:fill="FFFFFF"/>
            <w:hideMark/>
          </w:tcPr>
          <w:p w:rsidR="00B14D58" w:rsidRPr="00B14D58" w:rsidRDefault="00B14D58" w:rsidP="00B14D58">
            <w:pPr>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Размер кредиторской задолженности</w:t>
            </w:r>
          </w:p>
        </w:tc>
        <w:tc>
          <w:tcPr>
            <w:tcW w:w="4260" w:type="dxa"/>
            <w:shd w:val="clear" w:color="auto" w:fill="FFFFFF"/>
            <w:hideMark/>
          </w:tcPr>
          <w:p w:rsidR="00B14D58" w:rsidRPr="00B14D58" w:rsidRDefault="00B14D58" w:rsidP="00B14D58">
            <w:pPr>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279682 тыс. рублей</w:t>
            </w:r>
          </w:p>
        </w:tc>
      </w:tr>
      <w:tr w:rsidR="00B14D58" w:rsidRPr="00B14D58" w:rsidTr="00B14D58">
        <w:tc>
          <w:tcPr>
            <w:tcW w:w="6015" w:type="dxa"/>
            <w:shd w:val="clear" w:color="auto" w:fill="FFFFFF"/>
            <w:hideMark/>
          </w:tcPr>
          <w:p w:rsidR="00B14D58" w:rsidRPr="00B14D58" w:rsidRDefault="00B14D58" w:rsidP="00B14D58">
            <w:pPr>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lastRenderedPageBreak/>
              <w:t>Размер дебиторской задолженности </w:t>
            </w:r>
          </w:p>
        </w:tc>
        <w:tc>
          <w:tcPr>
            <w:tcW w:w="4260" w:type="dxa"/>
            <w:shd w:val="clear" w:color="auto" w:fill="FFFFFF"/>
            <w:hideMark/>
          </w:tcPr>
          <w:p w:rsidR="00B14D58" w:rsidRPr="00B14D58" w:rsidRDefault="00B14D58" w:rsidP="00B14D58">
            <w:pPr>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91256 тыс. рублей</w:t>
            </w:r>
          </w:p>
        </w:tc>
      </w:tr>
    </w:tbl>
    <w:p w:rsidR="00B14D58" w:rsidRPr="00B14D58" w:rsidRDefault="00B14D58" w:rsidP="00B14D58">
      <w:pPr>
        <w:shd w:val="clear" w:color="auto" w:fill="FFFFFF"/>
        <w:spacing w:after="230" w:line="328" w:lineRule="atLeast"/>
        <w:jc w:val="center"/>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 </w:t>
      </w:r>
    </w:p>
    <w:p w:rsidR="00B14D58" w:rsidRPr="00B14D58" w:rsidRDefault="00B14D58" w:rsidP="00B14D58">
      <w:pPr>
        <w:shd w:val="clear" w:color="auto" w:fill="FFFFFF"/>
        <w:spacing w:after="0" w:line="328" w:lineRule="atLeast"/>
        <w:jc w:val="center"/>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Информация о проекте строительства.</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1. Цель проекта строительства: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Строительство 6-ти секционного 4-х этажного 142-х квартирного жилого дома (дом №32) по адресу: Московская область, Истринский район, Ивановское сельское поселение, д. Высоково.</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Этапы строительства.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Начало строительства: IV квартал2013 г.</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Окончание строительства: IV квартал 2015 г.</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Результаты проведения государственной экспертизы проектной документации:</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Положительное заключение негосударственной экспертизы 2-1-1-0460-13 выдано 12 декабря 2013 года ООО «ОКБ №1», Свидетельство об аккредитации на право проведения негосударственной экспертизы проектной документации №РОСС RU.0001.610025 от 20.12.2012 г. Объект капитального строительства «6-ти секционный 4-х этажный жилой дом (дом №32) по адресу: Московская область, Истринский район, с/пос Ивановское, вблизи д. Высоково». </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2. Информация о разрешении на строительство:</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Разрешение на строительство № RU50504304-357 от 12 декабря 2013 года, выдано: Администрацией Истринского муниципального района.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Срок действия разрешения на строительство до 31.12.2016 года.</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3. Права Застройщика на земельный участок:</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3.1. Земельный участок под строительство </w:t>
      </w:r>
      <w:r w:rsidRPr="00B14D58">
        <w:rPr>
          <w:rFonts w:ascii="Arial" w:eastAsia="Times New Roman" w:hAnsi="Arial" w:cs="Arial"/>
          <w:color w:val="000000"/>
          <w:sz w:val="23"/>
          <w:szCs w:val="23"/>
          <w:lang w:eastAsia="ru-RU"/>
        </w:rPr>
        <w:t>6-ти секционного 4-х этажного 142-х квартирного жилого дома (дом №32)</w:t>
      </w:r>
      <w:r w:rsidRPr="00B14D58">
        <w:rPr>
          <w:rFonts w:ascii="Arial" w:eastAsia="Times New Roman" w:hAnsi="Arial" w:cs="Arial"/>
          <w:color w:val="000000"/>
          <w:sz w:val="23"/>
          <w:lang w:eastAsia="ru-RU"/>
        </w:rPr>
        <w:t> </w:t>
      </w:r>
      <w:r w:rsidRPr="00B14D58">
        <w:rPr>
          <w:rFonts w:ascii="Arial" w:eastAsia="Times New Roman" w:hAnsi="Arial" w:cs="Arial"/>
          <w:b/>
          <w:bCs/>
          <w:color w:val="000000"/>
          <w:sz w:val="23"/>
          <w:lang w:eastAsia="ru-RU"/>
        </w:rPr>
        <w:t>принадлежит Обществу с ограниченной ответственностью «КОМПАНИЯ ПРОМСЕРВИС» на следующих основаниях:</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3.1.1. Договор №ДЗ-43 аренды земельного участка для его комплексного освоения в целях жилищного строительства от 02.07.2012 года, заключенный между Федеральным фондом содействия развитию жилищного строительства и ООО «КОМПАНИЯ ПРОМСЕРВИС», зарегистрирован в Управлении Федеральной службы государственной регистрации, кадастра и картографии по Московской области 24.07.2012 года, о чем в ЕГРП сделана запись регистрации № 50-50-08/092/2012-281. Дополнительное соглашение №2 к договору аренды земельного участка для его комплексного освоения в целях жилищного строительства от 02.07.2012 № ДЗ-43 от 21.02.2014 г., о чем 17.03.2014 г. в ЕГРП сделана запись регистрации № 50-50-08/037/2014-189.</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lastRenderedPageBreak/>
        <w:t>Земельный участок площадью 5651 (Пять тысяч шестьсот пятьдесят один) кв.м. с кадастровым номером №50:08:0040140:274, расположен по адресу: Московская область, Истринский район, с/пос. Ивановское, вблизи д. Высоково.</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Собственник земельного участка: Федеральный фонд содействия развитию жилищного строительства (Фонд «РЖС»), ИНН: 7709441907, ОГРН: 1087799030846. </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3.2. Границы участка под строительство 6-ти секционного 4-х этажного 142-х квартирного жилого дома (дом №32):</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Участок находится в северной части проектируемого жилого комплекса и имеет границами: с юга, запада и севера – дорожные проезды проектируемого жилого комплекса; с востока – жилые 4-х этажные дома.</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3.3. Элементы благоустройства:</w:t>
      </w:r>
      <w:r w:rsidRPr="00B14D58">
        <w:rPr>
          <w:rFonts w:ascii="Arial" w:eastAsia="Times New Roman" w:hAnsi="Arial" w:cs="Arial"/>
          <w:color w:val="000000"/>
          <w:sz w:val="23"/>
          <w:lang w:eastAsia="ru-RU"/>
        </w:rPr>
        <w:t> </w:t>
      </w:r>
      <w:r w:rsidRPr="00B14D58">
        <w:rPr>
          <w:rFonts w:ascii="Arial" w:eastAsia="Times New Roman" w:hAnsi="Arial" w:cs="Arial"/>
          <w:color w:val="000000"/>
          <w:sz w:val="23"/>
          <w:szCs w:val="23"/>
          <w:lang w:eastAsia="ru-RU"/>
        </w:rPr>
        <w:t>проектом предусмотрено комплексное благоустройство территории с устройством площадок отдыха для взрослого населения, детей и размещения контейнеров под твердые бытовые отходы и т.д.</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Предусмотрена организация открытых автомобильных стоянок (временного и постоянного хранения).</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4. Местоположение строящегося объекта капитального строительства: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Строящийся объект капитального строительства 6-ти секционный 4-х этажный 142-х квартирный жилой дом (дом №32) по адресу: Московская область, Истринский район, Ивановское сельское поселение, д. Высоково. </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5. Количество в составе строящегося </w:t>
      </w:r>
      <w:r w:rsidRPr="00B14D58">
        <w:rPr>
          <w:rFonts w:ascii="Arial" w:eastAsia="Times New Roman" w:hAnsi="Arial" w:cs="Arial"/>
          <w:color w:val="000000"/>
          <w:sz w:val="23"/>
          <w:szCs w:val="23"/>
          <w:lang w:eastAsia="ru-RU"/>
        </w:rPr>
        <w:t>6-ти секционного 4-х этажного 142-х квартирного жилого дома (дом №32)</w:t>
      </w:r>
      <w:r w:rsidRPr="00B14D58">
        <w:rPr>
          <w:rFonts w:ascii="Arial" w:eastAsia="Times New Roman" w:hAnsi="Arial" w:cs="Arial"/>
          <w:color w:val="000000"/>
          <w:sz w:val="23"/>
          <w:lang w:eastAsia="ru-RU"/>
        </w:rPr>
        <w:t> </w:t>
      </w:r>
      <w:r w:rsidRPr="00B14D58">
        <w:rPr>
          <w:rFonts w:ascii="Arial" w:eastAsia="Times New Roman" w:hAnsi="Arial" w:cs="Arial"/>
          <w:b/>
          <w:bCs/>
          <w:color w:val="000000"/>
          <w:sz w:val="23"/>
          <w:lang w:eastAsia="ru-RU"/>
        </w:rPr>
        <w:t>и самостоятельных частей (квартир, гаражей и иных объектов недвижимости), подлежащих передаче Застройщиком участникам долевого строительства после получения разрешения на ввод в эксплуатацию:</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Всего 142 квартир общей площадью 7236,3 кв.м.</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Из них:</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однокомнатных (студий) площадью 32,7 кв.м. – 4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однокомнатных (студий) площадью 31,3 кв.м. – 8 квартир,</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однокомнатных (студий) площадью 38,2 кв.м. – 1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однокомнатных (студий) площадью 39,0 кв.м. – 1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однокомнатных (студий) площадью 32,4 кв.м. – 27 квартир,</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однокомнатных (студий) площадью 31,0 кв.м. – 24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однокомнатных (студий) площадью 37,9 кв.м. – 3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однокомнатных (студий) площадью 38,7 кв.м. – 3 квартиры, </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lastRenderedPageBreak/>
        <w:t>однокомнатных площадью 45,3 кв.м. – 1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однокомнатных площадью 45,0 кв.м. – 3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однокомнатных площадью 50,0 кв.м. – 6 квартир,</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63,5 кв.м. – 1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56,5 кв.м. – 1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50,6 кв.м. – 1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47,8 кв.м. – 2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76,9 кв.м. – 1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77,6 кв.м. – 2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63,6 кв.м. – 1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56,4 кв.м. – 1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63,5 кв.м. – 3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56,5 кв.м. – 3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50,4 кв.м. – 3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47,5 кв.м. – 6 квартир,</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77,3 кв.м. – 6 квартир,</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56,4 кв.м. – 3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двухкомнатных площадью 63,6 кв.м. – 3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трехкомнатных площадью 82,7 кв.м. – 1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трехкомнатных площадью 110,1 кв.м. – 2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трехкомнатных площадью 84,9 кв.м. – 1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трехкомнатных площадью 83,3 кв.м. – 2 квартиры,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трехкомнатных площадью 82,3 кв.м. – 3 квартира,</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трехкомнатных площадью 109,7 кв.м. – 6 квартиры,</w:t>
      </w:r>
      <w:r w:rsidRPr="00B14D58">
        <w:rPr>
          <w:rFonts w:ascii="Arial" w:eastAsia="Times New Roman" w:hAnsi="Arial" w:cs="Arial"/>
          <w:color w:val="000000"/>
          <w:sz w:val="23"/>
          <w:szCs w:val="23"/>
          <w:lang w:eastAsia="ru-RU"/>
        </w:rPr>
        <w:br/>
      </w:r>
      <w:r w:rsidRPr="00B14D58">
        <w:rPr>
          <w:rFonts w:ascii="Arial" w:eastAsia="Times New Roman" w:hAnsi="Arial" w:cs="Arial"/>
          <w:color w:val="000000"/>
          <w:sz w:val="23"/>
          <w:szCs w:val="23"/>
          <w:lang w:eastAsia="ru-RU"/>
        </w:rPr>
        <w:br/>
        <w:t>трехкомнатных площадью 84,4 кв.м. – 3 квартира,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трехкомнатных площадью 83,0 кв.м. – 6 квартиры, </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lastRenderedPageBreak/>
        <w:t>6. Состав общего имущества в </w:t>
      </w:r>
      <w:r w:rsidRPr="00B14D58">
        <w:rPr>
          <w:rFonts w:ascii="Arial" w:eastAsia="Times New Roman" w:hAnsi="Arial" w:cs="Arial"/>
          <w:color w:val="000000"/>
          <w:sz w:val="23"/>
          <w:szCs w:val="23"/>
          <w:lang w:eastAsia="ru-RU"/>
        </w:rPr>
        <w:t>6-ти секционного 4-х этажного 142-х квартирного жилого дома (дом №32)</w:t>
      </w:r>
      <w:r w:rsidRPr="00B14D58">
        <w:rPr>
          <w:rFonts w:ascii="Arial" w:eastAsia="Times New Roman" w:hAnsi="Arial" w:cs="Arial"/>
          <w:b/>
          <w:bCs/>
          <w:color w:val="000000"/>
          <w:sz w:val="23"/>
          <w:lang w:eastAsia="ru-RU"/>
        </w:rPr>
        <w:t>,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6.1. Технический этаж с помещениями для оборудования, обеспечивающего техническое обслуживание 6-ти секционного 4-х этажного 142-х квартирного жилого дома (дом №32).</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6.2. Венткамеры.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6.3. Электрощитовые.</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6.4. Вспомогательные помещения.</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6.5. Коридоры.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6.6. Лестничные марши и площадки.</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7. Предполагаемый срок получения разрешения на ввод в эксплуатацию строящегося </w:t>
      </w:r>
      <w:r w:rsidRPr="00B14D58">
        <w:rPr>
          <w:rFonts w:ascii="Arial" w:eastAsia="Times New Roman" w:hAnsi="Arial" w:cs="Arial"/>
          <w:color w:val="000000"/>
          <w:sz w:val="23"/>
          <w:szCs w:val="23"/>
          <w:lang w:eastAsia="ru-RU"/>
        </w:rPr>
        <w:t>6-ти секционного 4-х этажного 142-х квартирного жилого дома (дом №32)</w:t>
      </w:r>
      <w:r w:rsidRPr="00B14D58">
        <w:rPr>
          <w:rFonts w:ascii="Arial" w:eastAsia="Times New Roman" w:hAnsi="Arial" w:cs="Arial"/>
          <w:b/>
          <w:bCs/>
          <w:color w:val="000000"/>
          <w:sz w:val="23"/>
          <w:lang w:eastAsia="ru-RU"/>
        </w:rPr>
        <w:t>:</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IV квартал 2015 г.</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8. Перечень органов государственной власти, органов местного самоуправления и организаций, представители которых участвуют в приемке </w:t>
      </w:r>
      <w:r w:rsidRPr="00B14D58">
        <w:rPr>
          <w:rFonts w:ascii="Arial" w:eastAsia="Times New Roman" w:hAnsi="Arial" w:cs="Arial"/>
          <w:color w:val="000000"/>
          <w:sz w:val="23"/>
          <w:szCs w:val="23"/>
          <w:lang w:eastAsia="ru-RU"/>
        </w:rPr>
        <w:t>6-ти секционного 4-х этажного 142-х квартирного жилого дома (дом №32)</w:t>
      </w:r>
      <w:r w:rsidRPr="00B14D58">
        <w:rPr>
          <w:rFonts w:ascii="Arial" w:eastAsia="Times New Roman" w:hAnsi="Arial" w:cs="Arial"/>
          <w:b/>
          <w:bCs/>
          <w:color w:val="000000"/>
          <w:sz w:val="23"/>
          <w:lang w:eastAsia="ru-RU"/>
        </w:rPr>
        <w:t>:</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 Администрация Истринского муниципального района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 Главное управление архитектуры и градостроительства МО и другие.</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9. Возможные финансовые и прочие риски при осуществлении проекта строительства и ориентировочная стоимость строительства:</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 возможное повышение цен на строительные материалы и субподрядные работы;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 ориентировочная стоимость строительства 267`743`100 (Двести шестьдесят семь миллионов семьсот сорок три тысячи сто) рублей.</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Сведения о договорах, на основании которых привлекаются денежные средства для строительства </w:t>
      </w:r>
      <w:r w:rsidRPr="00B14D58">
        <w:rPr>
          <w:rFonts w:ascii="Arial" w:eastAsia="Times New Roman" w:hAnsi="Arial" w:cs="Arial"/>
          <w:color w:val="000000"/>
          <w:sz w:val="23"/>
          <w:szCs w:val="23"/>
          <w:lang w:eastAsia="ru-RU"/>
        </w:rPr>
        <w:t>6-ти секционного 4-х этажного 142-х квартирного жилого дома (дом №32)</w:t>
      </w:r>
      <w:r w:rsidRPr="00B14D58">
        <w:rPr>
          <w:rFonts w:ascii="Arial" w:eastAsia="Times New Roman" w:hAnsi="Arial" w:cs="Arial"/>
          <w:b/>
          <w:bCs/>
          <w:color w:val="000000"/>
          <w:sz w:val="23"/>
          <w:lang w:eastAsia="ru-RU"/>
        </w:rPr>
        <w:t>, за исключением привлечения денежных средств на основании договоров участия в долевом строительстве:</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Денежные средства на строительство 6-ти секционного 4-х этажного 142-х квартирного жилого дома (дом №32) привлекаются по договорам участия в долевом строительстве.</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Меры по добровольному страхованию Застройщиком таких рисков не принимались.</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lastRenderedPageBreak/>
        <w:t>10. Перечень организаций, осуществляющих основные строительно-монтажные и другие работы:</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Генеральный подрядчик:</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Общество с ограниченной ответственностью «ТехСтрой-СК»,</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115230, город Москва, Электролитный проезд, д.3, стр.12, офис 1, ИНН 7726712547,</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Свидетельство № 0844-2013-7726712547-С-035 о допуске к работам, которые оказывают влияние на безопасность объектов капитального строительства, вступило в действие с 08 августа 2013 года, выдано саморегулируемой организацией, основанной на членстве лиц, осуществляющих строительство Некоммерческим партнерством «Саморегулируемая организация «Союз строителей Московской области «Мособлстройкомплекс», 141700, Россия, Московская область, г. Долгопрудный, проспект Пацаева, дом 7, корпус 10, регистрационный номер в государственном реестре саморегулируемых организаций: СРО-С-035-09092009.</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11. Способ обеспечения исполнения обязательств Застройщика по договору:</w:t>
      </w:r>
    </w:p>
    <w:p w:rsidR="00B14D58" w:rsidRPr="00B14D58" w:rsidRDefault="00B14D58" w:rsidP="00B14D58">
      <w:pPr>
        <w:shd w:val="clear" w:color="auto" w:fill="FFFFFF"/>
        <w:spacing w:after="230" w:line="328" w:lineRule="atLeast"/>
        <w:rPr>
          <w:rFonts w:ascii="Arial" w:eastAsia="Times New Roman" w:hAnsi="Arial" w:cs="Arial"/>
          <w:color w:val="000000"/>
          <w:sz w:val="23"/>
          <w:szCs w:val="23"/>
          <w:lang w:eastAsia="ru-RU"/>
        </w:rPr>
      </w:pPr>
      <w:r w:rsidRPr="00B14D58">
        <w:rPr>
          <w:rFonts w:ascii="Arial" w:eastAsia="Times New Roman" w:hAnsi="Arial" w:cs="Arial"/>
          <w:color w:val="000000"/>
          <w:sz w:val="23"/>
          <w:szCs w:val="23"/>
          <w:lang w:eastAsia="ru-RU"/>
        </w:rPr>
        <w:t>залог в порядке, предусмотренном статьями 13 - 15 Федерального закона РФ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12. </w:t>
      </w:r>
      <w:r w:rsidRPr="00B14D58">
        <w:rPr>
          <w:rFonts w:ascii="Arial" w:eastAsia="Times New Roman" w:hAnsi="Arial" w:cs="Arial"/>
          <w:color w:val="000000"/>
          <w:sz w:val="23"/>
          <w:szCs w:val="23"/>
          <w:lang w:eastAsia="ru-RU"/>
        </w:rPr>
        <w:t>Иные договоры и сделки, на основании которых привлекаются денежные средства для строительства 6-ти секционного 4-х этажного 142-х квартирного жилого дома (дом №32) по адресу: Московская область, Истринский район, Ивановское сельское поселение, д. Высоково, за исключением привлечения денежных средств на основании договоров долевого участия в строительстве не имеются.</w:t>
      </w:r>
    </w:p>
    <w:p w:rsidR="00B14D58" w:rsidRPr="00B14D58" w:rsidRDefault="00B14D58" w:rsidP="00B14D58">
      <w:pPr>
        <w:shd w:val="clear" w:color="auto" w:fill="FFFFFF"/>
        <w:spacing w:after="0" w:line="328" w:lineRule="atLeast"/>
        <w:rPr>
          <w:rFonts w:ascii="Arial" w:eastAsia="Times New Roman" w:hAnsi="Arial" w:cs="Arial"/>
          <w:color w:val="000000"/>
          <w:sz w:val="23"/>
          <w:szCs w:val="23"/>
          <w:lang w:eastAsia="ru-RU"/>
        </w:rPr>
      </w:pPr>
      <w:r w:rsidRPr="00B14D58">
        <w:rPr>
          <w:rFonts w:ascii="Arial" w:eastAsia="Times New Roman" w:hAnsi="Arial" w:cs="Arial"/>
          <w:b/>
          <w:bCs/>
          <w:color w:val="000000"/>
          <w:sz w:val="23"/>
          <w:lang w:eastAsia="ru-RU"/>
        </w:rPr>
        <w:t>Генеральный директор</w:t>
      </w:r>
      <w:r w:rsidRPr="00B14D58">
        <w:rPr>
          <w:rFonts w:ascii="Arial" w:eastAsia="Times New Roman" w:hAnsi="Arial" w:cs="Arial"/>
          <w:b/>
          <w:bCs/>
          <w:color w:val="000000"/>
          <w:sz w:val="23"/>
          <w:szCs w:val="23"/>
          <w:lang w:eastAsia="ru-RU"/>
        </w:rPr>
        <w:br/>
      </w:r>
      <w:r w:rsidRPr="00B14D58">
        <w:rPr>
          <w:rFonts w:ascii="Arial" w:eastAsia="Times New Roman" w:hAnsi="Arial" w:cs="Arial"/>
          <w:b/>
          <w:bCs/>
          <w:color w:val="000000"/>
          <w:sz w:val="23"/>
          <w:lang w:eastAsia="ru-RU"/>
        </w:rPr>
        <w:t>ООО «КОМПАНИЯ ПРОМСЕРВИС» /Челидзе Э.Д./</w:t>
      </w:r>
    </w:p>
    <w:p w:rsidR="009F531F" w:rsidRDefault="009F531F"/>
    <w:sectPr w:rsidR="009F531F" w:rsidSect="009F5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B14D58"/>
    <w:rsid w:val="009F531F"/>
    <w:rsid w:val="00B14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31F"/>
  </w:style>
  <w:style w:type="paragraph" w:styleId="1">
    <w:name w:val="heading 1"/>
    <w:basedOn w:val="a"/>
    <w:link w:val="10"/>
    <w:uiPriority w:val="9"/>
    <w:qFormat/>
    <w:rsid w:val="00B14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D5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14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4D58"/>
    <w:rPr>
      <w:i/>
      <w:iCs/>
    </w:rPr>
  </w:style>
  <w:style w:type="character" w:styleId="a5">
    <w:name w:val="Strong"/>
    <w:basedOn w:val="a0"/>
    <w:uiPriority w:val="22"/>
    <w:qFormat/>
    <w:rsid w:val="00B14D58"/>
    <w:rPr>
      <w:b/>
      <w:bCs/>
    </w:rPr>
  </w:style>
  <w:style w:type="character" w:customStyle="1" w:styleId="apple-converted-space">
    <w:name w:val="apple-converted-space"/>
    <w:basedOn w:val="a0"/>
    <w:rsid w:val="00B14D58"/>
  </w:style>
</w:styles>
</file>

<file path=word/webSettings.xml><?xml version="1.0" encoding="utf-8"?>
<w:webSettings xmlns:r="http://schemas.openxmlformats.org/officeDocument/2006/relationships" xmlns:w="http://schemas.openxmlformats.org/wordprocessingml/2006/main">
  <w:divs>
    <w:div w:id="4786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1992</Words>
  <Characters>11355</Characters>
  <Application>Microsoft Office Word</Application>
  <DocSecurity>0</DocSecurity>
  <Lines>94</Lines>
  <Paragraphs>26</Paragraphs>
  <ScaleCrop>false</ScaleCrop>
  <Company>Microsoft</Company>
  <LinksUpToDate>false</LinksUpToDate>
  <CharactersWithSpaces>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2014-04-24T10:26:00Z</dcterms:created>
  <dcterms:modified xsi:type="dcterms:W3CDTF">2014-04-24T10:26:00Z</dcterms:modified>
</cp:coreProperties>
</file>